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510DC4" w:rsidP="00AE68D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Компонента отчетности по централизованным закупкам</w:t>
      </w:r>
    </w:p>
    <w:p w:rsidR="00DF5B8B" w:rsidRPr="00295068" w:rsidRDefault="00DF5B8B" w:rsidP="00AE68D6">
      <w:pPr>
        <w:spacing w:line="360" w:lineRule="auto"/>
        <w:jc w:val="center"/>
        <w:rPr>
          <w:sz w:val="36"/>
          <w:szCs w:val="36"/>
        </w:rPr>
      </w:pPr>
      <w:r w:rsidRPr="00295068">
        <w:rPr>
          <w:sz w:val="36"/>
          <w:szCs w:val="36"/>
        </w:rPr>
        <w:t xml:space="preserve">Руководство пользователя </w:t>
      </w:r>
      <w:r w:rsidR="00510DC4">
        <w:rPr>
          <w:sz w:val="36"/>
          <w:szCs w:val="36"/>
        </w:rPr>
        <w:t>по работе с заявками на поставку лекарственных препаратов в модуле «Сведение отчетности»</w:t>
      </w: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F5B8B" w:rsidRPr="00295068" w:rsidRDefault="00DF5B8B" w:rsidP="00AE68D6">
      <w:pPr>
        <w:spacing w:line="360" w:lineRule="auto"/>
        <w:jc w:val="center"/>
      </w:pPr>
    </w:p>
    <w:p w:rsidR="00DF5B8B" w:rsidRPr="00295068" w:rsidRDefault="00DF5B8B" w:rsidP="00AE68D6">
      <w:pPr>
        <w:spacing w:line="360" w:lineRule="auto"/>
        <w:jc w:val="center"/>
      </w:pPr>
    </w:p>
    <w:p w:rsidR="001A5D1E" w:rsidRPr="00295068" w:rsidRDefault="001A5D1E" w:rsidP="00AE68D6">
      <w:pPr>
        <w:spacing w:line="360" w:lineRule="auto"/>
        <w:jc w:val="center"/>
      </w:pPr>
    </w:p>
    <w:p w:rsidR="001A5D1E" w:rsidRPr="00295068" w:rsidRDefault="001A5D1E" w:rsidP="00AE68D6">
      <w:pPr>
        <w:spacing w:line="360" w:lineRule="auto"/>
        <w:jc w:val="center"/>
      </w:pPr>
    </w:p>
    <w:p w:rsidR="00510DC4" w:rsidRDefault="00510DC4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  <w:r w:rsidRPr="00295068">
        <w:t>Москва</w:t>
      </w:r>
    </w:p>
    <w:p w:rsidR="00576803" w:rsidRPr="00D75D1D" w:rsidRDefault="00DD6E96" w:rsidP="00AE68D6">
      <w:pPr>
        <w:spacing w:line="360" w:lineRule="auto"/>
        <w:jc w:val="center"/>
        <w:sectPr w:rsidR="00576803" w:rsidRPr="00D75D1D" w:rsidSect="00DD6E96">
          <w:footerReference w:type="default" r:id="rId9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295068">
        <w:t>201</w:t>
      </w:r>
      <w:r w:rsidR="00D75D1D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82136091"/>
        <w:docPartObj>
          <w:docPartGallery w:val="Table of Contents"/>
          <w:docPartUnique/>
        </w:docPartObj>
      </w:sdtPr>
      <w:sdtEndPr/>
      <w:sdtContent>
        <w:p w:rsidR="00D75D1D" w:rsidRPr="00D75D1D" w:rsidRDefault="00D75D1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D75D1D">
            <w:rPr>
              <w:rFonts w:ascii="Times New Roman" w:hAnsi="Times New Roman" w:cs="Times New Roman"/>
              <w:color w:val="auto"/>
            </w:rPr>
            <w:t>Оглавление</w:t>
          </w:r>
          <w:bookmarkStart w:id="0" w:name="_GoBack"/>
          <w:bookmarkEnd w:id="0"/>
        </w:p>
        <w:p w:rsidR="00320E70" w:rsidRDefault="00D75D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363737" w:history="1">
            <w:r w:rsidR="00320E70" w:rsidRPr="00BE62B7">
              <w:rPr>
                <w:rStyle w:val="ab"/>
                <w:noProof/>
              </w:rPr>
              <w:t>1.</w:t>
            </w:r>
            <w:r w:rsidR="00320E7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E70" w:rsidRPr="00BE62B7">
              <w:rPr>
                <w:rStyle w:val="ab"/>
                <w:noProof/>
              </w:rPr>
              <w:t>Аннотация</w:t>
            </w:r>
            <w:r w:rsidR="00320E70">
              <w:rPr>
                <w:noProof/>
                <w:webHidden/>
              </w:rPr>
              <w:tab/>
            </w:r>
            <w:r w:rsidR="00320E70">
              <w:rPr>
                <w:noProof/>
                <w:webHidden/>
              </w:rPr>
              <w:fldChar w:fldCharType="begin"/>
            </w:r>
            <w:r w:rsidR="00320E70">
              <w:rPr>
                <w:noProof/>
                <w:webHidden/>
              </w:rPr>
              <w:instrText xml:space="preserve"> PAGEREF _Toc494363737 \h </w:instrText>
            </w:r>
            <w:r w:rsidR="00320E70">
              <w:rPr>
                <w:noProof/>
                <w:webHidden/>
              </w:rPr>
            </w:r>
            <w:r w:rsidR="00320E70">
              <w:rPr>
                <w:noProof/>
                <w:webHidden/>
              </w:rPr>
              <w:fldChar w:fldCharType="separate"/>
            </w:r>
            <w:r w:rsidR="00320E70">
              <w:rPr>
                <w:noProof/>
                <w:webHidden/>
              </w:rPr>
              <w:t>3</w:t>
            </w:r>
            <w:r w:rsidR="00320E70"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38" w:history="1">
            <w:r w:rsidRPr="00BE62B7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Выбор трафарета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39" w:history="1">
            <w:r w:rsidRPr="00BE62B7">
              <w:rPr>
                <w:rStyle w:val="ab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Заполнение недостающих реквизитов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40" w:history="1">
            <w:r w:rsidRPr="00BE62B7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Работа с линиями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41" w:history="1">
            <w:r w:rsidRPr="00BE62B7">
              <w:rPr>
                <w:rStyle w:val="ab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Добавление строки линии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42" w:history="1">
            <w:r w:rsidRPr="00BE62B7">
              <w:rPr>
                <w:rStyle w:val="ab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Удаление строки линии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43" w:history="1">
            <w:r w:rsidRPr="00BE62B7">
              <w:rPr>
                <w:rStyle w:val="ab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Заполнение данных линии 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E70" w:rsidRDefault="00320E7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363744" w:history="1">
            <w:r w:rsidRPr="00BE62B7">
              <w:rPr>
                <w:rStyle w:val="ab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62B7">
              <w:rPr>
                <w:rStyle w:val="ab"/>
                <w:noProof/>
              </w:rPr>
              <w:t>Заполнения данных итоговой таблицы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D" w:rsidRDefault="00D75D1D">
          <w:r>
            <w:rPr>
              <w:b/>
              <w:bCs/>
            </w:rPr>
            <w:fldChar w:fldCharType="end"/>
          </w:r>
        </w:p>
      </w:sdtContent>
    </w:sdt>
    <w:p w:rsidR="00AC2A55" w:rsidRPr="00295068" w:rsidRDefault="00AC2A55" w:rsidP="00227ADB">
      <w:pPr>
        <w:spacing w:line="360" w:lineRule="auto"/>
      </w:pPr>
      <w:r w:rsidRPr="00295068">
        <w:br w:type="page"/>
      </w:r>
    </w:p>
    <w:p w:rsidR="00AC2A55" w:rsidRPr="00295068" w:rsidRDefault="00CB4BFF" w:rsidP="00C50665">
      <w:pPr>
        <w:pStyle w:val="1"/>
        <w:numPr>
          <w:ilvl w:val="0"/>
          <w:numId w:val="26"/>
        </w:numPr>
        <w:spacing w:line="360" w:lineRule="auto"/>
      </w:pPr>
      <w:bookmarkStart w:id="1" w:name="_Toc494363737"/>
      <w:r>
        <w:lastRenderedPageBreak/>
        <w:t>Аннотация</w:t>
      </w:r>
      <w:bookmarkEnd w:id="1"/>
    </w:p>
    <w:p w:rsidR="002D4B1E" w:rsidRDefault="002D4B1E" w:rsidP="00C50665">
      <w:pPr>
        <w:pStyle w:val="a3"/>
        <w:spacing w:before="240" w:line="360" w:lineRule="auto"/>
        <w:ind w:left="0" w:firstLine="708"/>
      </w:pPr>
      <w:r>
        <w:t>В настоящем руководстве пользователя представлены особенности заполнения заявок на поставку лекарственных препаратов, а именно, работа с формой(-</w:t>
      </w:r>
      <w:proofErr w:type="spellStart"/>
      <w:r>
        <w:t>ами</w:t>
      </w:r>
      <w:proofErr w:type="spellEnd"/>
      <w:r>
        <w:t>) «</w:t>
      </w:r>
      <w:proofErr w:type="spellStart"/>
      <w:r w:rsidRPr="002D4B1E">
        <w:t>Заяв</w:t>
      </w:r>
      <w:proofErr w:type="gramStart"/>
      <w:r w:rsidRPr="002D4B1E">
        <w:t>.В</w:t>
      </w:r>
      <w:proofErr w:type="gramEnd"/>
      <w:r w:rsidRPr="002D4B1E">
        <w:t>ИЧ+Гепатит</w:t>
      </w:r>
      <w:proofErr w:type="spellEnd"/>
      <w:r>
        <w:t>».</w:t>
      </w:r>
    </w:p>
    <w:p w:rsidR="002D4B1E" w:rsidRPr="00146FBA" w:rsidRDefault="002D4B1E" w:rsidP="00C50665">
      <w:pPr>
        <w:pStyle w:val="a3"/>
        <w:spacing w:before="240" w:line="360" w:lineRule="auto"/>
        <w:ind w:left="0" w:firstLine="708"/>
      </w:pPr>
      <w:r>
        <w:t>Описание принципов функционирования основных бизнес-процессов</w:t>
      </w:r>
      <w:r w:rsidR="00146FBA">
        <w:t xml:space="preserve"> находятся в инструкции по работе с компонентой </w:t>
      </w:r>
      <w:r w:rsidR="00146FBA" w:rsidRPr="00801C07">
        <w:rPr>
          <w:i/>
        </w:rPr>
        <w:t>отчетности по централизованным закупкам</w:t>
      </w:r>
      <w:r w:rsidR="00146FBA">
        <w:t xml:space="preserve">, расположенной на сайте </w:t>
      </w:r>
      <w:hyperlink r:id="rId10" w:history="1">
        <w:r w:rsidR="00146FBA" w:rsidRPr="00DA0336">
          <w:rPr>
            <w:rStyle w:val="ab"/>
          </w:rPr>
          <w:t>http://ahd-centre.rosminzdrav.ru/</w:t>
        </w:r>
      </w:hyperlink>
      <w:r w:rsidR="00146FBA">
        <w:t xml:space="preserve"> в разделе «Инструкции по работе с системой» - «</w:t>
      </w:r>
      <w:r w:rsidR="00146FBA" w:rsidRPr="00146FBA">
        <w:t>Инструкция по работе с приложением «Сводная отчетность» для заполнения отчетов по остаткам</w:t>
      </w:r>
      <w:r w:rsidR="00146FBA">
        <w:t>».</w:t>
      </w:r>
    </w:p>
    <w:p w:rsidR="001D3589" w:rsidRPr="00295068" w:rsidRDefault="00AC2A55" w:rsidP="00C50665">
      <w:pPr>
        <w:pStyle w:val="a3"/>
        <w:spacing w:before="240" w:line="360" w:lineRule="auto"/>
        <w:ind w:left="0" w:firstLine="708"/>
      </w:pPr>
      <w:r w:rsidRPr="00295068">
        <w:br w:type="page"/>
      </w:r>
    </w:p>
    <w:p w:rsidR="00233016" w:rsidRDefault="007D3B2E" w:rsidP="00C50665">
      <w:pPr>
        <w:pStyle w:val="1"/>
        <w:numPr>
          <w:ilvl w:val="0"/>
          <w:numId w:val="26"/>
        </w:numPr>
        <w:spacing w:line="360" w:lineRule="auto"/>
      </w:pPr>
      <w:bookmarkStart w:id="2" w:name="_Toc494363738"/>
      <w:r>
        <w:lastRenderedPageBreak/>
        <w:t>Выбор</w:t>
      </w:r>
      <w:r w:rsidR="00233016">
        <w:t xml:space="preserve"> трафарета</w:t>
      </w:r>
      <w:bookmarkEnd w:id="2"/>
    </w:p>
    <w:p w:rsidR="00233016" w:rsidRDefault="00233016" w:rsidP="008D65F8">
      <w:pPr>
        <w:spacing w:line="360" w:lineRule="auto"/>
      </w:pPr>
    </w:p>
    <w:p w:rsidR="00233016" w:rsidRDefault="00233016" w:rsidP="008D65F8">
      <w:pPr>
        <w:spacing w:line="360" w:lineRule="auto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по форме имеется несколько </w:t>
      </w:r>
      <w:r w:rsidR="00C31B08">
        <w:t>трафаретов</w:t>
      </w:r>
      <w:r>
        <w:t xml:space="preserve">, перед открытием формы система предлагает выбрать </w:t>
      </w:r>
      <w:r w:rsidR="00C31B08">
        <w:t>нужный трафарет (рис.</w:t>
      </w:r>
      <w:r w:rsidR="009C0813">
        <w:t>1.1)</w:t>
      </w:r>
    </w:p>
    <w:p w:rsidR="009C0813" w:rsidRDefault="009C0813" w:rsidP="008D65F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2765D6" wp14:editId="087A9577">
            <wp:extent cx="4301737" cy="3498574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2662" cy="349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13" w:rsidRDefault="009C0813" w:rsidP="008D65F8">
      <w:pPr>
        <w:spacing w:line="360" w:lineRule="auto"/>
        <w:jc w:val="center"/>
      </w:pPr>
      <w:r>
        <w:t>Рисунок 1.1.</w:t>
      </w:r>
    </w:p>
    <w:p w:rsidR="009C0813" w:rsidRDefault="009C0813" w:rsidP="008D65F8">
      <w:pPr>
        <w:spacing w:line="360" w:lineRule="auto"/>
      </w:pPr>
    </w:p>
    <w:p w:rsidR="009C0813" w:rsidRPr="008D65F8" w:rsidRDefault="009C0813" w:rsidP="008D65F8">
      <w:pPr>
        <w:spacing w:line="360" w:lineRule="auto"/>
        <w:ind w:firstLine="708"/>
        <w:rPr>
          <w:i/>
          <w:u w:val="single"/>
        </w:rPr>
      </w:pPr>
      <w:r w:rsidRPr="008D65F8">
        <w:rPr>
          <w:i/>
          <w:highlight w:val="yellow"/>
          <w:u w:val="single"/>
        </w:rPr>
        <w:t>Примечание!</w:t>
      </w:r>
      <w:r w:rsidRPr="008D65F8">
        <w:rPr>
          <w:i/>
          <w:u w:val="single"/>
        </w:rPr>
        <w:t xml:space="preserve"> Для заполнения потребности по </w:t>
      </w:r>
      <w:r w:rsidRPr="008D65F8">
        <w:rPr>
          <w:b/>
          <w:i/>
          <w:color w:val="FF0000"/>
          <w:u w:val="single"/>
        </w:rPr>
        <w:t>Антиретровирусным препаратам</w:t>
      </w:r>
      <w:r w:rsidRPr="008D65F8">
        <w:rPr>
          <w:i/>
          <w:color w:val="FF0000"/>
          <w:u w:val="single"/>
        </w:rPr>
        <w:t xml:space="preserve"> </w:t>
      </w:r>
      <w:r w:rsidRPr="008D65F8">
        <w:rPr>
          <w:i/>
          <w:u w:val="single"/>
        </w:rPr>
        <w:t>необходимо выбрать трафарет «</w:t>
      </w:r>
      <w:r w:rsidR="008D65F8" w:rsidRPr="008D65F8">
        <w:rPr>
          <w:b/>
          <w:i/>
          <w:color w:val="FF0000"/>
          <w:u w:val="single"/>
        </w:rPr>
        <w:t>АРВП. Приложение №1 к заявке</w:t>
      </w:r>
      <w:r w:rsidRPr="008D65F8">
        <w:rPr>
          <w:i/>
          <w:u w:val="single"/>
        </w:rPr>
        <w:t>»</w:t>
      </w:r>
      <w:r w:rsidR="008D65F8" w:rsidRPr="008D65F8">
        <w:rPr>
          <w:i/>
          <w:u w:val="single"/>
        </w:rPr>
        <w:t xml:space="preserve"> (рис.1.2). Остальные трафареты представлены для непосредственной печати заявок по соответствующему направлению.</w:t>
      </w:r>
    </w:p>
    <w:p w:rsidR="008D65F8" w:rsidRDefault="008D65F8" w:rsidP="008D65F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1C4BE16" wp14:editId="53BD3340">
            <wp:extent cx="2075291" cy="1424826"/>
            <wp:effectExtent l="0" t="0" r="127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8962" cy="142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F8" w:rsidRDefault="008D65F8" w:rsidP="008D65F8">
      <w:pPr>
        <w:spacing w:line="360" w:lineRule="auto"/>
        <w:jc w:val="center"/>
      </w:pPr>
      <w:r>
        <w:t>Рисунок 1.2.</w:t>
      </w:r>
    </w:p>
    <w:p w:rsidR="007D3B2E" w:rsidRDefault="007D3B2E" w:rsidP="008D65F8">
      <w:pPr>
        <w:spacing w:line="360" w:lineRule="auto"/>
        <w:jc w:val="center"/>
      </w:pPr>
      <w:r>
        <w:br w:type="page"/>
      </w:r>
    </w:p>
    <w:p w:rsidR="00111BBE" w:rsidRDefault="00111BBE" w:rsidP="00C50665">
      <w:pPr>
        <w:pStyle w:val="1"/>
        <w:numPr>
          <w:ilvl w:val="0"/>
          <w:numId w:val="26"/>
        </w:numPr>
        <w:spacing w:line="360" w:lineRule="auto"/>
      </w:pPr>
      <w:bookmarkStart w:id="3" w:name="_Toc494363739"/>
      <w:r>
        <w:lastRenderedPageBreak/>
        <w:t>Заполнение недостающих реквизитов</w:t>
      </w:r>
      <w:bookmarkEnd w:id="3"/>
    </w:p>
    <w:p w:rsidR="00233016" w:rsidRPr="00233016" w:rsidRDefault="00233016" w:rsidP="00233016"/>
    <w:p w:rsidR="00111BBE" w:rsidRDefault="00111BBE" w:rsidP="00C50665">
      <w:pPr>
        <w:spacing w:line="360" w:lineRule="auto"/>
        <w:ind w:firstLine="708"/>
      </w:pPr>
      <w:r>
        <w:t xml:space="preserve">Ранее не заполнявшаяся заявка имеет </w:t>
      </w:r>
      <w:proofErr w:type="spellStart"/>
      <w:r w:rsidR="009E0173">
        <w:t>предзаполненные</w:t>
      </w:r>
      <w:proofErr w:type="spellEnd"/>
      <w:r>
        <w:t xml:space="preserve"> поля, как в заголовочной части (рис.1), так и в подвале формы, где представлены итоговые данные по препаратам</w:t>
      </w:r>
      <w:r w:rsidR="006E3816">
        <w:t xml:space="preserve"> (рис.2).</w:t>
      </w:r>
    </w:p>
    <w:p w:rsidR="006E3816" w:rsidRDefault="006E3816" w:rsidP="00C50665">
      <w:pPr>
        <w:spacing w:line="360" w:lineRule="auto"/>
        <w:ind w:left="-1418" w:right="-568"/>
        <w:jc w:val="center"/>
      </w:pPr>
      <w:r>
        <w:rPr>
          <w:noProof/>
        </w:rPr>
        <w:drawing>
          <wp:inline distT="0" distB="0" distL="0" distR="0" wp14:anchorId="2DD4BAFB" wp14:editId="5516043A">
            <wp:extent cx="6713417" cy="17890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1069" cy="17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16" w:rsidRDefault="006E3816" w:rsidP="00C50665">
      <w:pPr>
        <w:spacing w:line="360" w:lineRule="auto"/>
        <w:ind w:left="-1418" w:right="-568"/>
        <w:jc w:val="center"/>
      </w:pPr>
      <w:r>
        <w:t>Рисунок 1.</w:t>
      </w:r>
    </w:p>
    <w:p w:rsidR="006E3816" w:rsidRDefault="006E3816" w:rsidP="00C50665">
      <w:pPr>
        <w:spacing w:line="360" w:lineRule="auto"/>
        <w:ind w:left="-1418" w:right="-568"/>
        <w:jc w:val="center"/>
      </w:pPr>
    </w:p>
    <w:p w:rsidR="006E3816" w:rsidRDefault="006E3816" w:rsidP="00C50665">
      <w:pPr>
        <w:spacing w:line="360" w:lineRule="auto"/>
        <w:ind w:left="-1418" w:right="-568"/>
        <w:jc w:val="center"/>
      </w:pPr>
      <w:r>
        <w:rPr>
          <w:noProof/>
        </w:rPr>
        <w:drawing>
          <wp:inline distT="0" distB="0" distL="0" distR="0" wp14:anchorId="48AD0521" wp14:editId="30AA9795">
            <wp:extent cx="6639339" cy="127524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1357" cy="127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16" w:rsidRDefault="006E3816" w:rsidP="00C50665">
      <w:pPr>
        <w:spacing w:line="360" w:lineRule="auto"/>
        <w:ind w:left="-1418" w:right="-568"/>
        <w:jc w:val="center"/>
      </w:pPr>
      <w:r>
        <w:t>Рисунок 2.</w:t>
      </w:r>
    </w:p>
    <w:p w:rsidR="009E0173" w:rsidRDefault="009E0173" w:rsidP="00C50665">
      <w:pPr>
        <w:spacing w:line="360" w:lineRule="auto"/>
        <w:ind w:left="-1418" w:right="-568"/>
      </w:pPr>
    </w:p>
    <w:p w:rsidR="009E0173" w:rsidRDefault="009E0173" w:rsidP="00C50665">
      <w:pPr>
        <w:spacing w:line="360" w:lineRule="auto"/>
        <w:ind w:right="-1" w:firstLine="708"/>
      </w:pPr>
      <w:r>
        <w:t>Для заполнения недостающих реквизитов в заголовочной части</w:t>
      </w:r>
      <w:r w:rsidR="00383C1E">
        <w:t xml:space="preserve"> («Реквизиты организации-получателя», «Место поставки») необходимо:</w:t>
      </w:r>
    </w:p>
    <w:p w:rsidR="00383C1E" w:rsidRDefault="00383C1E" w:rsidP="00C50665">
      <w:pPr>
        <w:pStyle w:val="a3"/>
        <w:numPr>
          <w:ilvl w:val="0"/>
          <w:numId w:val="31"/>
        </w:numPr>
        <w:spacing w:line="360" w:lineRule="auto"/>
        <w:ind w:right="-1"/>
      </w:pPr>
      <w:r>
        <w:t>Нажать левой клавишей мыши на пустое место под названием поля, например «Реквизиты организации-получателя» (рис.3)</w:t>
      </w:r>
    </w:p>
    <w:p w:rsidR="00383C1E" w:rsidRDefault="00383C1E" w:rsidP="00C50665">
      <w:pPr>
        <w:spacing w:line="360" w:lineRule="auto"/>
        <w:ind w:left="-993" w:right="-1"/>
        <w:jc w:val="center"/>
      </w:pPr>
      <w:r>
        <w:rPr>
          <w:noProof/>
        </w:rPr>
        <w:drawing>
          <wp:inline distT="0" distB="0" distL="0" distR="0" wp14:anchorId="1B860BBE" wp14:editId="007D3EFC">
            <wp:extent cx="6647291" cy="1237662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3105" cy="123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1E" w:rsidRDefault="00383C1E" w:rsidP="00C50665">
      <w:pPr>
        <w:spacing w:line="360" w:lineRule="auto"/>
        <w:ind w:left="-993" w:right="-1"/>
        <w:jc w:val="center"/>
      </w:pPr>
      <w:r>
        <w:t>Рисунок 3.</w:t>
      </w:r>
    </w:p>
    <w:p w:rsidR="00383C1E" w:rsidRDefault="00383C1E" w:rsidP="00C50665">
      <w:pPr>
        <w:spacing w:line="360" w:lineRule="auto"/>
        <w:ind w:left="-993" w:right="-1"/>
        <w:jc w:val="center"/>
      </w:pPr>
    </w:p>
    <w:p w:rsidR="00383C1E" w:rsidRDefault="00383C1E" w:rsidP="00C50665">
      <w:pPr>
        <w:pStyle w:val="a3"/>
        <w:numPr>
          <w:ilvl w:val="0"/>
          <w:numId w:val="31"/>
        </w:numPr>
        <w:spacing w:line="360" w:lineRule="auto"/>
        <w:ind w:right="-1"/>
      </w:pPr>
      <w:r>
        <w:t xml:space="preserve">После нажатия, в правой части строки </w:t>
      </w:r>
      <w:r w:rsidR="008F5DE6">
        <w:t>необходимо нажать кнопку</w:t>
      </w:r>
      <w:r>
        <w:t xml:space="preserve"> выбора из справочника (рис.4)</w:t>
      </w:r>
    </w:p>
    <w:p w:rsidR="00383C1E" w:rsidRDefault="00383C1E" w:rsidP="00C50665">
      <w:pPr>
        <w:spacing w:line="360" w:lineRule="auto"/>
        <w:ind w:left="-993" w:right="-1"/>
        <w:jc w:val="center"/>
      </w:pPr>
      <w:r>
        <w:rPr>
          <w:noProof/>
        </w:rPr>
        <w:lastRenderedPageBreak/>
        <w:drawing>
          <wp:inline distT="0" distB="0" distL="0" distR="0" wp14:anchorId="5FE5FD8C" wp14:editId="153CBFF3">
            <wp:extent cx="5940425" cy="113302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1E" w:rsidRDefault="00383C1E" w:rsidP="00C50665">
      <w:pPr>
        <w:spacing w:line="360" w:lineRule="auto"/>
        <w:ind w:left="-993" w:right="-1"/>
        <w:jc w:val="center"/>
      </w:pPr>
      <w:r>
        <w:t>Рисунок 4.</w:t>
      </w:r>
    </w:p>
    <w:p w:rsidR="003310A0" w:rsidRDefault="003310A0" w:rsidP="00C50665">
      <w:pPr>
        <w:spacing w:line="360" w:lineRule="auto"/>
        <w:ind w:left="-993" w:right="-1"/>
        <w:jc w:val="center"/>
      </w:pPr>
    </w:p>
    <w:p w:rsidR="00383C1E" w:rsidRDefault="00383C1E" w:rsidP="00C50665">
      <w:pPr>
        <w:pStyle w:val="a3"/>
        <w:numPr>
          <w:ilvl w:val="0"/>
          <w:numId w:val="31"/>
        </w:numPr>
        <w:spacing w:line="360" w:lineRule="auto"/>
        <w:ind w:right="-1"/>
      </w:pPr>
      <w:r>
        <w:t xml:space="preserve">В появившемся окне необходимо выбрать нужный реквизит и нажать </w:t>
      </w:r>
      <w:proofErr w:type="gramStart"/>
      <w:r>
        <w:t>ОК</w:t>
      </w:r>
      <w:proofErr w:type="gramEnd"/>
      <w:r>
        <w:t xml:space="preserve"> (рис.5)</w:t>
      </w:r>
    </w:p>
    <w:p w:rsidR="00383C1E" w:rsidRDefault="003310A0" w:rsidP="00C50665">
      <w:pPr>
        <w:spacing w:line="360" w:lineRule="auto"/>
        <w:ind w:right="-1"/>
        <w:jc w:val="center"/>
      </w:pPr>
      <w:r>
        <w:rPr>
          <w:noProof/>
        </w:rPr>
        <w:drawing>
          <wp:inline distT="0" distB="0" distL="0" distR="0" wp14:anchorId="569C9548" wp14:editId="5017DA59">
            <wp:extent cx="4059238" cy="21945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0780" cy="21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A0" w:rsidRDefault="003310A0" w:rsidP="00C50665">
      <w:pPr>
        <w:spacing w:line="360" w:lineRule="auto"/>
        <w:ind w:right="-1"/>
        <w:jc w:val="center"/>
      </w:pPr>
      <w:r>
        <w:t>Рисунок 6.</w:t>
      </w:r>
    </w:p>
    <w:p w:rsidR="003310A0" w:rsidRDefault="003310A0" w:rsidP="00C50665">
      <w:pPr>
        <w:spacing w:line="360" w:lineRule="auto"/>
        <w:ind w:right="-1"/>
      </w:pPr>
    </w:p>
    <w:p w:rsidR="003310A0" w:rsidRDefault="003310A0" w:rsidP="00C50665">
      <w:pPr>
        <w:spacing w:line="360" w:lineRule="auto"/>
        <w:ind w:right="-1" w:firstLine="708"/>
      </w:pPr>
      <w:r>
        <w:t>Таким же образом заполняется поле «Место поставки».</w:t>
      </w:r>
    </w:p>
    <w:p w:rsidR="004716E5" w:rsidRDefault="004716E5" w:rsidP="00C50665">
      <w:pPr>
        <w:spacing w:line="360" w:lineRule="auto"/>
        <w:ind w:right="-1"/>
      </w:pPr>
    </w:p>
    <w:p w:rsidR="00A6039B" w:rsidRDefault="003310A0" w:rsidP="00C50665">
      <w:pPr>
        <w:spacing w:line="360" w:lineRule="auto"/>
        <w:ind w:right="-1" w:firstLine="708"/>
        <w:rPr>
          <w:i/>
          <w:u w:val="single"/>
        </w:rPr>
      </w:pPr>
      <w:r w:rsidRPr="004716E5">
        <w:rPr>
          <w:i/>
          <w:highlight w:val="yellow"/>
          <w:u w:val="single"/>
        </w:rPr>
        <w:t>Примечание!</w:t>
      </w:r>
      <w:r w:rsidRPr="004716E5">
        <w:rPr>
          <w:i/>
          <w:u w:val="single"/>
        </w:rPr>
        <w:t xml:space="preserve"> В случае</w:t>
      </w:r>
      <w:proofErr w:type="gramStart"/>
      <w:r w:rsidRPr="004716E5">
        <w:rPr>
          <w:i/>
          <w:u w:val="single"/>
        </w:rPr>
        <w:t>,</w:t>
      </w:r>
      <w:proofErr w:type="gramEnd"/>
      <w:r w:rsidRPr="004716E5">
        <w:rPr>
          <w:i/>
          <w:u w:val="single"/>
        </w:rPr>
        <w:t xml:space="preserve"> если </w:t>
      </w:r>
      <w:r w:rsidR="004716E5" w:rsidRPr="004716E5">
        <w:rPr>
          <w:i/>
          <w:u w:val="single"/>
        </w:rPr>
        <w:t>в данных справочниках не</w:t>
      </w:r>
      <w:r w:rsidR="004716E5">
        <w:rPr>
          <w:i/>
          <w:u w:val="single"/>
        </w:rPr>
        <w:t xml:space="preserve"> обнаружено требуемого реквизита</w:t>
      </w:r>
      <w:r w:rsidR="004716E5" w:rsidRPr="004716E5">
        <w:rPr>
          <w:i/>
          <w:u w:val="single"/>
        </w:rPr>
        <w:t xml:space="preserve">, необходимо связаться с куратором Минздрава РФ, либо обратиться в службу технической поддержки по телефону 8-800-555-97-60 или по электронной почте </w:t>
      </w:r>
      <w:hyperlink r:id="rId18" w:history="1">
        <w:r w:rsidR="004716E5" w:rsidRPr="004716E5">
          <w:rPr>
            <w:rStyle w:val="ab"/>
            <w:i/>
          </w:rPr>
          <w:t>ahd-centre@rosminzdrav.ru</w:t>
        </w:r>
      </w:hyperlink>
      <w:r w:rsidR="004716E5" w:rsidRPr="004716E5">
        <w:rPr>
          <w:i/>
          <w:u w:val="single"/>
        </w:rPr>
        <w:t>.</w:t>
      </w:r>
      <w:r w:rsidR="00A6039B">
        <w:rPr>
          <w:i/>
          <w:u w:val="single"/>
        </w:rPr>
        <w:br w:type="page"/>
      </w:r>
    </w:p>
    <w:p w:rsidR="003310A0" w:rsidRDefault="00A6039B" w:rsidP="00C50665">
      <w:pPr>
        <w:pStyle w:val="1"/>
        <w:numPr>
          <w:ilvl w:val="0"/>
          <w:numId w:val="26"/>
        </w:numPr>
        <w:spacing w:line="360" w:lineRule="auto"/>
      </w:pPr>
      <w:bookmarkStart w:id="4" w:name="_Toc494363740"/>
      <w:r>
        <w:lastRenderedPageBreak/>
        <w:t>Работа с линиями терапии</w:t>
      </w:r>
      <w:bookmarkEnd w:id="4"/>
    </w:p>
    <w:p w:rsidR="00A6039B" w:rsidRPr="00A6039B" w:rsidRDefault="00A6039B" w:rsidP="00C50665">
      <w:pPr>
        <w:pStyle w:val="2"/>
        <w:numPr>
          <w:ilvl w:val="1"/>
          <w:numId w:val="26"/>
        </w:numPr>
        <w:spacing w:line="360" w:lineRule="auto"/>
      </w:pPr>
      <w:bookmarkStart w:id="5" w:name="_Toc494363741"/>
      <w:r>
        <w:t>Добавление строки линии терапии</w:t>
      </w:r>
      <w:bookmarkEnd w:id="5"/>
    </w:p>
    <w:p w:rsidR="006E3816" w:rsidRDefault="00A6039B" w:rsidP="00C50665">
      <w:pPr>
        <w:spacing w:line="360" w:lineRule="auto"/>
        <w:ind w:right="-1" w:firstLine="708"/>
      </w:pPr>
      <w:r>
        <w:t>Для добавления новой</w:t>
      </w:r>
      <w:r w:rsidR="00077A9F">
        <w:t xml:space="preserve"> строки</w:t>
      </w:r>
      <w:r>
        <w:t xml:space="preserve"> линии терапии необходимо:</w:t>
      </w:r>
    </w:p>
    <w:p w:rsidR="00A6039B" w:rsidRDefault="00A6039B" w:rsidP="00C50665">
      <w:pPr>
        <w:pStyle w:val="a3"/>
        <w:numPr>
          <w:ilvl w:val="0"/>
          <w:numId w:val="32"/>
        </w:numPr>
        <w:spacing w:line="360" w:lineRule="auto"/>
        <w:ind w:right="-1"/>
      </w:pPr>
      <w:r>
        <w:t>В требуемой группе линий терапии, в любом месте нажать правой клавишей мыши и выбрать пункт контекстного меню «Таблица» - «Добавить строку» (рис.7)</w:t>
      </w:r>
    </w:p>
    <w:p w:rsidR="00A6039B" w:rsidRDefault="00A6039B" w:rsidP="00C50665">
      <w:pPr>
        <w:spacing w:line="360" w:lineRule="auto"/>
        <w:ind w:left="-993" w:right="-1"/>
        <w:jc w:val="center"/>
      </w:pPr>
      <w:r>
        <w:rPr>
          <w:noProof/>
        </w:rPr>
        <w:drawing>
          <wp:inline distT="0" distB="0" distL="0" distR="0" wp14:anchorId="3E207773" wp14:editId="7E935EED">
            <wp:extent cx="6725530" cy="211504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24054" cy="21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9B" w:rsidRDefault="00A6039B" w:rsidP="00C50665">
      <w:pPr>
        <w:spacing w:line="360" w:lineRule="auto"/>
        <w:ind w:left="-993" w:right="-1"/>
        <w:jc w:val="center"/>
      </w:pPr>
      <w:r>
        <w:t>Рисунок 7.</w:t>
      </w:r>
    </w:p>
    <w:p w:rsidR="00A6039B" w:rsidRDefault="00A6039B" w:rsidP="00C50665">
      <w:pPr>
        <w:spacing w:line="360" w:lineRule="auto"/>
        <w:ind w:right="-1"/>
      </w:pPr>
    </w:p>
    <w:p w:rsidR="00A6039B" w:rsidRDefault="00A6039B" w:rsidP="00C50665">
      <w:pPr>
        <w:pStyle w:val="2"/>
        <w:numPr>
          <w:ilvl w:val="1"/>
          <w:numId w:val="26"/>
        </w:numPr>
        <w:spacing w:line="360" w:lineRule="auto"/>
      </w:pPr>
      <w:bookmarkStart w:id="6" w:name="_Toc494363742"/>
      <w:r>
        <w:t>Удаление строки линии терапии</w:t>
      </w:r>
      <w:bookmarkEnd w:id="6"/>
    </w:p>
    <w:p w:rsidR="00A6039B" w:rsidRDefault="00A6039B" w:rsidP="00C50665">
      <w:pPr>
        <w:spacing w:line="360" w:lineRule="auto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какая-либо строка линии терапии оказалась лишняя (ошибочная), ее можно удалить</w:t>
      </w:r>
      <w:r w:rsidR="00077A9F">
        <w:t>.</w:t>
      </w:r>
    </w:p>
    <w:p w:rsidR="00077A9F" w:rsidRDefault="00077A9F" w:rsidP="00C50665">
      <w:pPr>
        <w:spacing w:line="360" w:lineRule="auto"/>
        <w:ind w:firstLine="708"/>
      </w:pPr>
      <w:r>
        <w:t>Для удаления строки лини терапии необходимо:</w:t>
      </w:r>
    </w:p>
    <w:p w:rsidR="00077A9F" w:rsidRDefault="00077A9F" w:rsidP="00C50665">
      <w:pPr>
        <w:pStyle w:val="a3"/>
        <w:numPr>
          <w:ilvl w:val="0"/>
          <w:numId w:val="35"/>
        </w:numPr>
        <w:spacing w:line="360" w:lineRule="auto"/>
      </w:pPr>
      <w:r>
        <w:t>В любом месте ненужной линии терапии нажать правой клавишей мыши и выбрать пункт контекстного меню «Таблица» - «Удалить строку» (рис.8)</w:t>
      </w:r>
    </w:p>
    <w:p w:rsidR="00077A9F" w:rsidRDefault="00077A9F" w:rsidP="00C50665">
      <w:pPr>
        <w:spacing w:line="360" w:lineRule="auto"/>
        <w:ind w:left="-993"/>
        <w:jc w:val="center"/>
      </w:pPr>
      <w:r>
        <w:rPr>
          <w:noProof/>
        </w:rPr>
        <w:drawing>
          <wp:inline distT="0" distB="0" distL="0" distR="0" wp14:anchorId="76AD965E" wp14:editId="7C6E801E">
            <wp:extent cx="6694703" cy="208324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08583" cy="20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9F" w:rsidRDefault="00077A9F" w:rsidP="00C50665">
      <w:pPr>
        <w:spacing w:line="360" w:lineRule="auto"/>
        <w:ind w:left="-993"/>
        <w:jc w:val="center"/>
      </w:pPr>
      <w:r>
        <w:t>Рисунок 8.</w:t>
      </w:r>
    </w:p>
    <w:p w:rsidR="007D7CA0" w:rsidRDefault="007D7CA0" w:rsidP="00C50665">
      <w:pPr>
        <w:spacing w:line="360" w:lineRule="auto"/>
        <w:ind w:left="-993"/>
      </w:pPr>
    </w:p>
    <w:p w:rsidR="007D7CA0" w:rsidRDefault="007D7CA0" w:rsidP="00C50665">
      <w:pPr>
        <w:pStyle w:val="2"/>
        <w:numPr>
          <w:ilvl w:val="1"/>
          <w:numId w:val="26"/>
        </w:numPr>
        <w:spacing w:line="360" w:lineRule="auto"/>
      </w:pPr>
      <w:bookmarkStart w:id="7" w:name="_Toc494363743"/>
      <w:r>
        <w:lastRenderedPageBreak/>
        <w:t>Заполнение данных линии терапии</w:t>
      </w:r>
      <w:bookmarkEnd w:id="7"/>
    </w:p>
    <w:p w:rsidR="007D7CA0" w:rsidRDefault="008F5DE6" w:rsidP="00C50665">
      <w:pPr>
        <w:spacing w:line="360" w:lineRule="auto"/>
        <w:ind w:firstLine="708"/>
      </w:pPr>
      <w:r>
        <w:t>В каждой группе лини терапии необходимо заполнить следующие поля:</w:t>
      </w:r>
    </w:p>
    <w:p w:rsidR="008F5DE6" w:rsidRDefault="008F5DE6" w:rsidP="00C50665">
      <w:pPr>
        <w:pStyle w:val="a3"/>
        <w:numPr>
          <w:ilvl w:val="0"/>
          <w:numId w:val="36"/>
        </w:numPr>
        <w:spacing w:line="360" w:lineRule="auto"/>
      </w:pPr>
      <w:r>
        <w:t>Численность пациентов по схемам лечения – вводится вручную пользователем</w:t>
      </w:r>
    </w:p>
    <w:p w:rsidR="008F5DE6" w:rsidRDefault="008F5DE6" w:rsidP="00C50665">
      <w:pPr>
        <w:pStyle w:val="a3"/>
        <w:numPr>
          <w:ilvl w:val="0"/>
          <w:numId w:val="36"/>
        </w:numPr>
        <w:spacing w:line="360" w:lineRule="auto"/>
      </w:pPr>
      <w:r>
        <w:t xml:space="preserve">МНН – выбирается из соответствующего справочника. </w:t>
      </w:r>
    </w:p>
    <w:p w:rsidR="008F5DE6" w:rsidRDefault="008F5DE6" w:rsidP="00C50665">
      <w:pPr>
        <w:spacing w:line="360" w:lineRule="auto"/>
        <w:ind w:firstLine="708"/>
      </w:pPr>
      <w:r>
        <w:t>Для выбора позиции МНН необходимо:</w:t>
      </w:r>
    </w:p>
    <w:p w:rsidR="008F5DE6" w:rsidRDefault="008F5DE6" w:rsidP="00C50665">
      <w:pPr>
        <w:pStyle w:val="a3"/>
        <w:numPr>
          <w:ilvl w:val="0"/>
          <w:numId w:val="37"/>
        </w:numPr>
        <w:spacing w:line="360" w:lineRule="auto"/>
      </w:pPr>
      <w:r>
        <w:t>Нажать левой клавишей мыши в поле в колонке МНН (рис.9)</w:t>
      </w:r>
    </w:p>
    <w:p w:rsidR="008F5DE6" w:rsidRDefault="008F5DE6" w:rsidP="00C5066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635F55C" wp14:editId="4F12AB01">
            <wp:extent cx="3037399" cy="2048353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38053" cy="20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E6" w:rsidRDefault="008F5DE6" w:rsidP="00C50665">
      <w:pPr>
        <w:spacing w:line="360" w:lineRule="auto"/>
        <w:jc w:val="center"/>
      </w:pPr>
      <w:r>
        <w:t>Рисунок 9.</w:t>
      </w:r>
    </w:p>
    <w:p w:rsidR="008F5DE6" w:rsidRDefault="008F5DE6" w:rsidP="00C50665">
      <w:pPr>
        <w:spacing w:line="360" w:lineRule="auto"/>
        <w:jc w:val="center"/>
      </w:pPr>
    </w:p>
    <w:p w:rsidR="008F5DE6" w:rsidRDefault="008F5DE6" w:rsidP="00C50665">
      <w:pPr>
        <w:pStyle w:val="a3"/>
        <w:numPr>
          <w:ilvl w:val="0"/>
          <w:numId w:val="37"/>
        </w:numPr>
        <w:spacing w:line="360" w:lineRule="auto"/>
      </w:pPr>
      <w:r>
        <w:t>В выбранном поле, в правом верхнем углу, необходимо нажать кнопку выбора из справочника (рис.10)</w:t>
      </w:r>
    </w:p>
    <w:p w:rsidR="008F5DE6" w:rsidRDefault="008F5DE6" w:rsidP="00C5066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A372460" wp14:editId="507B36A3">
            <wp:extent cx="3093058" cy="210415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94631" cy="210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E6" w:rsidRDefault="008F5DE6" w:rsidP="00C50665">
      <w:pPr>
        <w:spacing w:line="360" w:lineRule="auto"/>
        <w:jc w:val="center"/>
      </w:pPr>
      <w:r>
        <w:t>Рисунок 10.</w:t>
      </w:r>
    </w:p>
    <w:p w:rsidR="002E6C1D" w:rsidRDefault="002E6C1D" w:rsidP="00C50665">
      <w:pPr>
        <w:spacing w:line="360" w:lineRule="auto"/>
        <w:jc w:val="center"/>
      </w:pPr>
    </w:p>
    <w:p w:rsidR="008F5DE6" w:rsidRDefault="002E6C1D" w:rsidP="00C50665">
      <w:pPr>
        <w:pStyle w:val="a3"/>
        <w:numPr>
          <w:ilvl w:val="0"/>
          <w:numId w:val="37"/>
        </w:numPr>
        <w:spacing w:line="360" w:lineRule="auto"/>
      </w:pPr>
      <w:r>
        <w:t xml:space="preserve">В появившемся окне необходимо выбрать нужную позицию МНН и нажать </w:t>
      </w:r>
      <w:proofErr w:type="gramStart"/>
      <w:r>
        <w:t>ОК</w:t>
      </w:r>
      <w:proofErr w:type="gramEnd"/>
      <w:r>
        <w:t xml:space="preserve"> (рис.11)</w:t>
      </w:r>
    </w:p>
    <w:p w:rsidR="002E6C1D" w:rsidRDefault="002E6C1D" w:rsidP="00C50665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1EBFB29" wp14:editId="750F159B">
            <wp:extent cx="3434964" cy="3097292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33218" cy="30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C1D" w:rsidRDefault="002E6C1D" w:rsidP="00C50665">
      <w:pPr>
        <w:spacing w:line="360" w:lineRule="auto"/>
        <w:jc w:val="center"/>
      </w:pPr>
      <w:r>
        <w:t>Рисунок 11.</w:t>
      </w:r>
    </w:p>
    <w:p w:rsidR="00F61D5B" w:rsidRDefault="00F61D5B" w:rsidP="00C50665">
      <w:pPr>
        <w:spacing w:line="360" w:lineRule="auto"/>
        <w:jc w:val="center"/>
      </w:pPr>
    </w:p>
    <w:p w:rsidR="008F5DE6" w:rsidRDefault="008F5DE6" w:rsidP="00C50665">
      <w:pPr>
        <w:pStyle w:val="a3"/>
        <w:numPr>
          <w:ilvl w:val="0"/>
          <w:numId w:val="36"/>
        </w:numPr>
        <w:spacing w:line="360" w:lineRule="auto"/>
      </w:pPr>
      <w:r>
        <w:t>Кратность применения препарата/</w:t>
      </w:r>
      <w:proofErr w:type="spellStart"/>
      <w:r>
        <w:t>сут</w:t>
      </w:r>
      <w:proofErr w:type="spellEnd"/>
      <w:r>
        <w:t>.</w:t>
      </w:r>
      <w:r w:rsidR="002E6C1D">
        <w:t xml:space="preserve"> – вводится вручную пользователем</w:t>
      </w:r>
    </w:p>
    <w:p w:rsidR="008F5DE6" w:rsidRDefault="008F5DE6" w:rsidP="00C50665">
      <w:pPr>
        <w:pStyle w:val="a3"/>
        <w:numPr>
          <w:ilvl w:val="0"/>
          <w:numId w:val="36"/>
        </w:numPr>
        <w:spacing w:line="360" w:lineRule="auto"/>
      </w:pPr>
      <w:r>
        <w:t>Примечание (взрослые/беременные/дети/другое)</w:t>
      </w:r>
      <w:r w:rsidR="002E6C1D">
        <w:t xml:space="preserve"> –  вводится вручную пользователем (при необходимости)</w:t>
      </w:r>
    </w:p>
    <w:p w:rsidR="0091224B" w:rsidRDefault="0091224B" w:rsidP="00C50665">
      <w:pPr>
        <w:spacing w:line="360" w:lineRule="auto"/>
      </w:pPr>
    </w:p>
    <w:p w:rsidR="0091224B" w:rsidRDefault="0091224B" w:rsidP="00C50665">
      <w:pPr>
        <w:spacing w:line="360" w:lineRule="auto"/>
        <w:ind w:firstLine="708"/>
        <w:rPr>
          <w:i/>
          <w:u w:val="single"/>
        </w:rPr>
      </w:pPr>
      <w:r w:rsidRPr="0091224B">
        <w:rPr>
          <w:i/>
          <w:highlight w:val="yellow"/>
          <w:u w:val="single"/>
        </w:rPr>
        <w:t>Примечание!</w:t>
      </w:r>
      <w:r w:rsidRPr="0091224B">
        <w:rPr>
          <w:i/>
          <w:u w:val="single"/>
        </w:rPr>
        <w:t xml:space="preserve"> Поля «Форма выпуска» и «Дозировка» заполняются системо</w:t>
      </w:r>
      <w:r w:rsidR="00BB667F">
        <w:rPr>
          <w:i/>
          <w:u w:val="single"/>
        </w:rPr>
        <w:t>й автоматически после пересчета значений</w:t>
      </w:r>
      <w:r w:rsidRPr="0091224B">
        <w:rPr>
          <w:i/>
          <w:u w:val="single"/>
        </w:rPr>
        <w:t xml:space="preserve"> отчета.</w:t>
      </w:r>
      <w:r w:rsidR="00BB667F">
        <w:rPr>
          <w:i/>
          <w:u w:val="single"/>
        </w:rPr>
        <w:t xml:space="preserve"> Для того чтобы пересчитать значения необходимо:</w:t>
      </w:r>
    </w:p>
    <w:p w:rsidR="00BB667F" w:rsidRDefault="00BB667F" w:rsidP="00C50665">
      <w:pPr>
        <w:pStyle w:val="a3"/>
        <w:numPr>
          <w:ilvl w:val="0"/>
          <w:numId w:val="38"/>
        </w:numPr>
        <w:spacing w:line="360" w:lineRule="auto"/>
        <w:rPr>
          <w:i/>
          <w:u w:val="single"/>
        </w:rPr>
      </w:pPr>
      <w:r>
        <w:rPr>
          <w:i/>
          <w:u w:val="single"/>
        </w:rPr>
        <w:t>В правом верхнем углу экрана на панели инструментов выбрать действие «Пересчитать…» (рис.12)</w:t>
      </w:r>
    </w:p>
    <w:p w:rsidR="00BB667F" w:rsidRDefault="00BB667F" w:rsidP="00C50665">
      <w:pPr>
        <w:spacing w:line="360" w:lineRule="auto"/>
        <w:jc w:val="center"/>
        <w:rPr>
          <w:i/>
          <w:u w:val="single"/>
        </w:rPr>
      </w:pPr>
      <w:r>
        <w:rPr>
          <w:noProof/>
        </w:rPr>
        <w:drawing>
          <wp:inline distT="0" distB="0" distL="0" distR="0" wp14:anchorId="5EBCC09C" wp14:editId="0A3610B1">
            <wp:extent cx="2775005" cy="436948"/>
            <wp:effectExtent l="0" t="0" r="635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86132" cy="4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7F" w:rsidRDefault="00BB667F" w:rsidP="00C50665">
      <w:pPr>
        <w:spacing w:line="360" w:lineRule="auto"/>
        <w:jc w:val="center"/>
        <w:rPr>
          <w:i/>
        </w:rPr>
      </w:pPr>
      <w:r w:rsidRPr="00BB667F">
        <w:rPr>
          <w:i/>
        </w:rPr>
        <w:t>Рисунок 12.</w:t>
      </w:r>
    </w:p>
    <w:p w:rsidR="00222FFC" w:rsidRPr="00BB667F" w:rsidRDefault="00222FFC" w:rsidP="00C50665">
      <w:pPr>
        <w:spacing w:line="360" w:lineRule="auto"/>
        <w:jc w:val="center"/>
        <w:rPr>
          <w:i/>
        </w:rPr>
      </w:pPr>
    </w:p>
    <w:p w:rsidR="00BB667F" w:rsidRDefault="00BB667F" w:rsidP="00C50665">
      <w:pPr>
        <w:pStyle w:val="a3"/>
        <w:numPr>
          <w:ilvl w:val="0"/>
          <w:numId w:val="38"/>
        </w:numPr>
        <w:spacing w:line="360" w:lineRule="auto"/>
        <w:rPr>
          <w:i/>
          <w:u w:val="single"/>
        </w:rPr>
      </w:pPr>
      <w:r>
        <w:rPr>
          <w:i/>
          <w:u w:val="single"/>
        </w:rPr>
        <w:t xml:space="preserve">В появившемся окне выбрать тип пересчета «Общий» и нажать </w:t>
      </w:r>
      <w:proofErr w:type="gramStart"/>
      <w:r>
        <w:rPr>
          <w:i/>
          <w:u w:val="single"/>
        </w:rPr>
        <w:t>ОК</w:t>
      </w:r>
      <w:proofErr w:type="gramEnd"/>
      <w:r>
        <w:rPr>
          <w:i/>
          <w:u w:val="single"/>
        </w:rPr>
        <w:t xml:space="preserve"> (рис.13)</w:t>
      </w:r>
    </w:p>
    <w:p w:rsidR="00BB667F" w:rsidRDefault="00BB667F" w:rsidP="00C50665">
      <w:pPr>
        <w:spacing w:line="360" w:lineRule="auto"/>
        <w:jc w:val="center"/>
        <w:rPr>
          <w:i/>
          <w:u w:val="single"/>
        </w:rPr>
      </w:pPr>
      <w:r>
        <w:rPr>
          <w:noProof/>
        </w:rPr>
        <w:drawing>
          <wp:inline distT="0" distB="0" distL="0" distR="0" wp14:anchorId="572B1EFB" wp14:editId="2C50645E">
            <wp:extent cx="3116911" cy="853728"/>
            <wp:effectExtent l="0" t="0" r="762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16010" cy="85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7F" w:rsidRPr="00BB667F" w:rsidRDefault="00BB667F" w:rsidP="00C50665">
      <w:pPr>
        <w:spacing w:line="360" w:lineRule="auto"/>
        <w:jc w:val="center"/>
        <w:rPr>
          <w:i/>
        </w:rPr>
      </w:pPr>
      <w:r w:rsidRPr="00BB667F">
        <w:rPr>
          <w:i/>
        </w:rPr>
        <w:t>Рисунок 13.</w:t>
      </w:r>
    </w:p>
    <w:p w:rsidR="00CD580A" w:rsidRDefault="00CD580A" w:rsidP="00C50665">
      <w:pPr>
        <w:spacing w:line="360" w:lineRule="auto"/>
        <w:rPr>
          <w:i/>
          <w:u w:val="single"/>
        </w:rPr>
      </w:pPr>
    </w:p>
    <w:p w:rsidR="00CD580A" w:rsidRDefault="00CD580A" w:rsidP="00C50665">
      <w:pPr>
        <w:pStyle w:val="2"/>
        <w:numPr>
          <w:ilvl w:val="1"/>
          <w:numId w:val="26"/>
        </w:numPr>
        <w:spacing w:line="360" w:lineRule="auto"/>
      </w:pPr>
      <w:bookmarkStart w:id="8" w:name="_Toc494363744"/>
      <w:r>
        <w:lastRenderedPageBreak/>
        <w:t>Заполнения данных итоговой таблицы</w:t>
      </w:r>
      <w:bookmarkEnd w:id="8"/>
    </w:p>
    <w:p w:rsidR="00CD580A" w:rsidRDefault="00CD580A" w:rsidP="00C50665">
      <w:pPr>
        <w:spacing w:line="360" w:lineRule="auto"/>
        <w:ind w:firstLine="708"/>
      </w:pPr>
      <w:proofErr w:type="gramStart"/>
      <w:r>
        <w:t>Итоговая</w:t>
      </w:r>
      <w:proofErr w:type="gramEnd"/>
      <w:r>
        <w:t xml:space="preserve"> таблицы находится в под всеми группами линий терапии. Большинство данных итоговой таблицы заполняются</w:t>
      </w:r>
      <w:r w:rsidR="00BB667F">
        <w:t xml:space="preserve"> автоматически</w:t>
      </w:r>
      <w:r>
        <w:t xml:space="preserve"> на основании ранее заполненных групп линий терапии</w:t>
      </w:r>
      <w:r w:rsidR="00625BCB">
        <w:t xml:space="preserve"> (после сохранения или пересчета данных, описанных в примечании пункта 3.3)</w:t>
      </w:r>
      <w:r>
        <w:t>.</w:t>
      </w:r>
    </w:p>
    <w:p w:rsidR="007A3126" w:rsidRDefault="007A3126" w:rsidP="00C50665">
      <w:pPr>
        <w:spacing w:line="360" w:lineRule="auto"/>
        <w:ind w:firstLine="708"/>
      </w:pPr>
      <w:r>
        <w:t>В итоговой таблице требуется заполнить колонки 9 – «Остаток на дату составления заявки», 10 – «Остаток на конец текущего года» (рис.14)</w:t>
      </w:r>
    </w:p>
    <w:p w:rsidR="007A3126" w:rsidRDefault="007A3126" w:rsidP="00C50665">
      <w:pPr>
        <w:spacing w:line="360" w:lineRule="auto"/>
        <w:ind w:left="-993"/>
        <w:jc w:val="center"/>
      </w:pPr>
      <w:r>
        <w:rPr>
          <w:noProof/>
        </w:rPr>
        <w:drawing>
          <wp:inline distT="0" distB="0" distL="0" distR="0" wp14:anchorId="2327342E" wp14:editId="32098DDF">
            <wp:extent cx="6887549" cy="120064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00029" cy="12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26" w:rsidRDefault="007A3126" w:rsidP="00C50665">
      <w:pPr>
        <w:spacing w:line="360" w:lineRule="auto"/>
        <w:ind w:left="-993"/>
        <w:jc w:val="center"/>
      </w:pPr>
      <w:r>
        <w:t>Рисунок 14.</w:t>
      </w:r>
    </w:p>
    <w:p w:rsidR="007A3126" w:rsidRDefault="007A3126" w:rsidP="00C50665">
      <w:pPr>
        <w:spacing w:line="360" w:lineRule="auto"/>
      </w:pPr>
    </w:p>
    <w:p w:rsidR="007A3126" w:rsidRDefault="0013117F" w:rsidP="00C50665">
      <w:pPr>
        <w:spacing w:line="360" w:lineRule="auto"/>
        <w:ind w:firstLine="708"/>
        <w:rPr>
          <w:i/>
          <w:u w:val="single"/>
        </w:rPr>
      </w:pPr>
      <w:r w:rsidRPr="0013117F">
        <w:rPr>
          <w:i/>
          <w:highlight w:val="yellow"/>
          <w:u w:val="single"/>
        </w:rPr>
        <w:t>Примечание!</w:t>
      </w:r>
      <w:r w:rsidRPr="0013117F">
        <w:rPr>
          <w:i/>
          <w:u w:val="single"/>
        </w:rPr>
        <w:t xml:space="preserve"> </w:t>
      </w:r>
      <w:r w:rsidR="007A3126" w:rsidRPr="0013117F">
        <w:rPr>
          <w:i/>
          <w:u w:val="single"/>
        </w:rPr>
        <w:t>После внесения всех необходимых данных, требуется вновь пересчитать отчет (процедура пересчета описана в примечании пункта 3.3.)</w:t>
      </w:r>
      <w:r w:rsidRPr="0013117F">
        <w:rPr>
          <w:i/>
          <w:u w:val="single"/>
        </w:rPr>
        <w:t xml:space="preserve"> и проверить правильность заполнения таких полей как «Численность пациентов», «Сумма» и т.д.</w:t>
      </w:r>
      <w:r>
        <w:rPr>
          <w:i/>
          <w:u w:val="single"/>
        </w:rPr>
        <w:t xml:space="preserve"> (рис.15)</w:t>
      </w:r>
    </w:p>
    <w:p w:rsidR="0013117F" w:rsidRDefault="0065006E" w:rsidP="00C50665">
      <w:pPr>
        <w:spacing w:line="360" w:lineRule="auto"/>
        <w:ind w:left="-993"/>
        <w:jc w:val="center"/>
        <w:rPr>
          <w:i/>
          <w:u w:val="single"/>
          <w:lang w:val="en-US"/>
        </w:rPr>
      </w:pPr>
      <w:r>
        <w:rPr>
          <w:noProof/>
        </w:rPr>
        <w:drawing>
          <wp:inline distT="0" distB="0" distL="0" distR="0" wp14:anchorId="25A6FC6C" wp14:editId="4E4CD68C">
            <wp:extent cx="6964959" cy="1431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88908" cy="14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65" w:rsidRPr="00C50665" w:rsidRDefault="00C50665" w:rsidP="00C50665">
      <w:pPr>
        <w:spacing w:line="360" w:lineRule="auto"/>
        <w:ind w:left="-993"/>
        <w:jc w:val="center"/>
        <w:rPr>
          <w:i/>
        </w:rPr>
      </w:pPr>
      <w:r w:rsidRPr="00C50665">
        <w:rPr>
          <w:i/>
        </w:rPr>
        <w:t>Рисунок 15.</w:t>
      </w:r>
    </w:p>
    <w:sectPr w:rsidR="00C50665" w:rsidRPr="00C50665" w:rsidSect="00DD6E96">
      <w:footerReference w:type="default" r:id="rId2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D2" w:rsidRDefault="00BE61D2" w:rsidP="00576803">
      <w:r>
        <w:separator/>
      </w:r>
    </w:p>
  </w:endnote>
  <w:endnote w:type="continuationSeparator" w:id="0">
    <w:p w:rsidR="00BE61D2" w:rsidRDefault="00BE61D2" w:rsidP="005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3" w:rsidRDefault="00576803">
    <w:pPr>
      <w:pStyle w:val="a8"/>
      <w:jc w:val="center"/>
    </w:pPr>
  </w:p>
  <w:p w:rsidR="00576803" w:rsidRDefault="005768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306619"/>
      <w:docPartObj>
        <w:docPartGallery w:val="Page Numbers (Bottom of Page)"/>
        <w:docPartUnique/>
      </w:docPartObj>
    </w:sdtPr>
    <w:sdtEndPr/>
    <w:sdtContent>
      <w:p w:rsidR="00576803" w:rsidRDefault="005768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70">
          <w:rPr>
            <w:noProof/>
          </w:rPr>
          <w:t>2</w:t>
        </w:r>
        <w:r>
          <w:fldChar w:fldCharType="end"/>
        </w:r>
      </w:p>
    </w:sdtContent>
  </w:sdt>
  <w:p w:rsidR="00576803" w:rsidRDefault="005768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D2" w:rsidRDefault="00BE61D2" w:rsidP="00576803">
      <w:r>
        <w:separator/>
      </w:r>
    </w:p>
  </w:footnote>
  <w:footnote w:type="continuationSeparator" w:id="0">
    <w:p w:rsidR="00BE61D2" w:rsidRDefault="00BE61D2" w:rsidP="0057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9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67A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C6DA5"/>
    <w:multiLevelType w:val="hybridMultilevel"/>
    <w:tmpl w:val="576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2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48073B"/>
    <w:multiLevelType w:val="hybridMultilevel"/>
    <w:tmpl w:val="3CDC15F6"/>
    <w:lvl w:ilvl="0" w:tplc="62E2FB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B4EB1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FD6934"/>
    <w:multiLevelType w:val="hybridMultilevel"/>
    <w:tmpl w:val="C4F6BCE2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7A47"/>
    <w:multiLevelType w:val="hybridMultilevel"/>
    <w:tmpl w:val="FF1A3014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644AF2"/>
    <w:multiLevelType w:val="hybridMultilevel"/>
    <w:tmpl w:val="71C86D12"/>
    <w:lvl w:ilvl="0" w:tplc="AF189A0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3C349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576359"/>
    <w:multiLevelType w:val="hybridMultilevel"/>
    <w:tmpl w:val="4F6C66AE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2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17673"/>
    <w:multiLevelType w:val="hybridMultilevel"/>
    <w:tmpl w:val="B10E008C"/>
    <w:lvl w:ilvl="0" w:tplc="5AACE11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7697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075CE6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8633D"/>
    <w:multiLevelType w:val="hybridMultilevel"/>
    <w:tmpl w:val="B53C6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DF4B59"/>
    <w:multiLevelType w:val="hybridMultilevel"/>
    <w:tmpl w:val="73923E2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F0290B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1DD38B5"/>
    <w:multiLevelType w:val="hybridMultilevel"/>
    <w:tmpl w:val="A16E7C88"/>
    <w:lvl w:ilvl="0" w:tplc="62E2FB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C1E0D"/>
    <w:multiLevelType w:val="hybridMultilevel"/>
    <w:tmpl w:val="A16E7C88"/>
    <w:lvl w:ilvl="0" w:tplc="62E2FB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52286"/>
    <w:multiLevelType w:val="hybridMultilevel"/>
    <w:tmpl w:val="1556CC7C"/>
    <w:lvl w:ilvl="0" w:tplc="62E2FB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324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02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D04DE9"/>
    <w:multiLevelType w:val="hybridMultilevel"/>
    <w:tmpl w:val="36F22A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433104D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6B0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B90904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0A7AFF"/>
    <w:multiLevelType w:val="hybridMultilevel"/>
    <w:tmpl w:val="62BADBFC"/>
    <w:lvl w:ilvl="0" w:tplc="D2325892">
      <w:start w:val="1"/>
      <w:numFmt w:val="russianLower"/>
      <w:lvlText w:val="%1)"/>
      <w:lvlJc w:val="left"/>
      <w:pPr>
        <w:ind w:left="357" w:firstLine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A5BD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A47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0E39B1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53536B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C65F61"/>
    <w:multiLevelType w:val="hybridMultilevel"/>
    <w:tmpl w:val="184A2042"/>
    <w:lvl w:ilvl="0" w:tplc="62E2FB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7EF8"/>
    <w:multiLevelType w:val="hybridMultilevel"/>
    <w:tmpl w:val="910E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A3B07"/>
    <w:multiLevelType w:val="hybridMultilevel"/>
    <w:tmpl w:val="66A09356"/>
    <w:lvl w:ilvl="0" w:tplc="62E2FB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0363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34B61A8"/>
    <w:multiLevelType w:val="hybridMultilevel"/>
    <w:tmpl w:val="467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7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33"/>
  </w:num>
  <w:num w:numId="5">
    <w:abstractNumId w:val="16"/>
  </w:num>
  <w:num w:numId="6">
    <w:abstractNumId w:val="30"/>
  </w:num>
  <w:num w:numId="7">
    <w:abstractNumId w:val="14"/>
  </w:num>
  <w:num w:numId="8">
    <w:abstractNumId w:val="21"/>
  </w:num>
  <w:num w:numId="9">
    <w:abstractNumId w:val="9"/>
  </w:num>
  <w:num w:numId="10">
    <w:abstractNumId w:val="27"/>
  </w:num>
  <w:num w:numId="11">
    <w:abstractNumId w:val="13"/>
  </w:num>
  <w:num w:numId="12">
    <w:abstractNumId w:val="26"/>
  </w:num>
  <w:num w:numId="13">
    <w:abstractNumId w:val="35"/>
  </w:num>
  <w:num w:numId="14">
    <w:abstractNumId w:val="31"/>
  </w:num>
  <w:num w:numId="15">
    <w:abstractNumId w:val="17"/>
  </w:num>
  <w:num w:numId="16">
    <w:abstractNumId w:val="28"/>
  </w:num>
  <w:num w:numId="17">
    <w:abstractNumId w:val="0"/>
  </w:num>
  <w:num w:numId="18">
    <w:abstractNumId w:val="7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36"/>
  </w:num>
  <w:num w:numId="24">
    <w:abstractNumId w:val="6"/>
  </w:num>
  <w:num w:numId="25">
    <w:abstractNumId w:val="10"/>
  </w:num>
  <w:num w:numId="26">
    <w:abstractNumId w:val="25"/>
  </w:num>
  <w:num w:numId="27">
    <w:abstractNumId w:val="37"/>
  </w:num>
  <w:num w:numId="28">
    <w:abstractNumId w:val="3"/>
  </w:num>
  <w:num w:numId="29">
    <w:abstractNumId w:val="15"/>
  </w:num>
  <w:num w:numId="30">
    <w:abstractNumId w:val="11"/>
  </w:num>
  <w:num w:numId="31">
    <w:abstractNumId w:val="20"/>
  </w:num>
  <w:num w:numId="32">
    <w:abstractNumId w:val="32"/>
  </w:num>
  <w:num w:numId="33">
    <w:abstractNumId w:val="29"/>
  </w:num>
  <w:num w:numId="34">
    <w:abstractNumId w:val="1"/>
  </w:num>
  <w:num w:numId="35">
    <w:abstractNumId w:val="34"/>
  </w:num>
  <w:num w:numId="36">
    <w:abstractNumId w:val="2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7"/>
    <w:rsid w:val="00002BF5"/>
    <w:rsid w:val="00022D14"/>
    <w:rsid w:val="00053EA9"/>
    <w:rsid w:val="000765E0"/>
    <w:rsid w:val="00077A9F"/>
    <w:rsid w:val="00081161"/>
    <w:rsid w:val="00085902"/>
    <w:rsid w:val="000B0B42"/>
    <w:rsid w:val="000C292A"/>
    <w:rsid w:val="000E12E8"/>
    <w:rsid w:val="000F30A1"/>
    <w:rsid w:val="0010125F"/>
    <w:rsid w:val="0010173E"/>
    <w:rsid w:val="00107B30"/>
    <w:rsid w:val="00111BBE"/>
    <w:rsid w:val="00126644"/>
    <w:rsid w:val="0013117F"/>
    <w:rsid w:val="0014257D"/>
    <w:rsid w:val="00143780"/>
    <w:rsid w:val="00146FBA"/>
    <w:rsid w:val="001561B9"/>
    <w:rsid w:val="0016208C"/>
    <w:rsid w:val="00164E48"/>
    <w:rsid w:val="001709E5"/>
    <w:rsid w:val="00177526"/>
    <w:rsid w:val="0018185F"/>
    <w:rsid w:val="0018540E"/>
    <w:rsid w:val="001A5D1E"/>
    <w:rsid w:val="001C2F22"/>
    <w:rsid w:val="001D3589"/>
    <w:rsid w:val="001D37FB"/>
    <w:rsid w:val="00222FFC"/>
    <w:rsid w:val="00227ADB"/>
    <w:rsid w:val="00233016"/>
    <w:rsid w:val="00245EC9"/>
    <w:rsid w:val="00282B80"/>
    <w:rsid w:val="002842B3"/>
    <w:rsid w:val="00295068"/>
    <w:rsid w:val="002A518C"/>
    <w:rsid w:val="002C5E7B"/>
    <w:rsid w:val="002D4B1E"/>
    <w:rsid w:val="002E6C1D"/>
    <w:rsid w:val="002F26B2"/>
    <w:rsid w:val="002F4EF9"/>
    <w:rsid w:val="00320E70"/>
    <w:rsid w:val="003310A0"/>
    <w:rsid w:val="00342F83"/>
    <w:rsid w:val="003572D4"/>
    <w:rsid w:val="00381347"/>
    <w:rsid w:val="00383C1E"/>
    <w:rsid w:val="00394B66"/>
    <w:rsid w:val="00394C4D"/>
    <w:rsid w:val="003C369E"/>
    <w:rsid w:val="003C370A"/>
    <w:rsid w:val="003C750B"/>
    <w:rsid w:val="003C77D3"/>
    <w:rsid w:val="003D1F2A"/>
    <w:rsid w:val="003E4F3F"/>
    <w:rsid w:val="003E70B9"/>
    <w:rsid w:val="003E7D45"/>
    <w:rsid w:val="003F6654"/>
    <w:rsid w:val="0040334C"/>
    <w:rsid w:val="00420316"/>
    <w:rsid w:val="004631D6"/>
    <w:rsid w:val="004716E5"/>
    <w:rsid w:val="004B5FD9"/>
    <w:rsid w:val="004B755E"/>
    <w:rsid w:val="004D22A7"/>
    <w:rsid w:val="004D7F32"/>
    <w:rsid w:val="004E13FD"/>
    <w:rsid w:val="00510DC4"/>
    <w:rsid w:val="005331B8"/>
    <w:rsid w:val="005341A5"/>
    <w:rsid w:val="005669E6"/>
    <w:rsid w:val="00576803"/>
    <w:rsid w:val="00586E95"/>
    <w:rsid w:val="0058757E"/>
    <w:rsid w:val="00597351"/>
    <w:rsid w:val="005B59F2"/>
    <w:rsid w:val="005B6738"/>
    <w:rsid w:val="005F1121"/>
    <w:rsid w:val="005F350F"/>
    <w:rsid w:val="00607FCB"/>
    <w:rsid w:val="00625BCB"/>
    <w:rsid w:val="00627DD6"/>
    <w:rsid w:val="00630E5C"/>
    <w:rsid w:val="00637503"/>
    <w:rsid w:val="00642328"/>
    <w:rsid w:val="0065006E"/>
    <w:rsid w:val="0065366B"/>
    <w:rsid w:val="00662C47"/>
    <w:rsid w:val="006737C5"/>
    <w:rsid w:val="00686020"/>
    <w:rsid w:val="00691EDA"/>
    <w:rsid w:val="006B3939"/>
    <w:rsid w:val="006C7E7B"/>
    <w:rsid w:val="006E3816"/>
    <w:rsid w:val="00702209"/>
    <w:rsid w:val="00722CE8"/>
    <w:rsid w:val="0072333D"/>
    <w:rsid w:val="00724BB8"/>
    <w:rsid w:val="00735D65"/>
    <w:rsid w:val="007504D1"/>
    <w:rsid w:val="00752647"/>
    <w:rsid w:val="00753192"/>
    <w:rsid w:val="00796B98"/>
    <w:rsid w:val="007A3126"/>
    <w:rsid w:val="007D3B2E"/>
    <w:rsid w:val="007D7CA0"/>
    <w:rsid w:val="00801C07"/>
    <w:rsid w:val="0081300A"/>
    <w:rsid w:val="0083502F"/>
    <w:rsid w:val="008901CE"/>
    <w:rsid w:val="008A04AE"/>
    <w:rsid w:val="008B17C9"/>
    <w:rsid w:val="008D06C8"/>
    <w:rsid w:val="008D53DF"/>
    <w:rsid w:val="008D65F8"/>
    <w:rsid w:val="008E7173"/>
    <w:rsid w:val="008F5DE6"/>
    <w:rsid w:val="00911C56"/>
    <w:rsid w:val="0091224B"/>
    <w:rsid w:val="0091330D"/>
    <w:rsid w:val="00935C2E"/>
    <w:rsid w:val="00942496"/>
    <w:rsid w:val="00947F00"/>
    <w:rsid w:val="009500FE"/>
    <w:rsid w:val="00975201"/>
    <w:rsid w:val="00987CB7"/>
    <w:rsid w:val="00994E32"/>
    <w:rsid w:val="009C0813"/>
    <w:rsid w:val="009D6EFE"/>
    <w:rsid w:val="009E0173"/>
    <w:rsid w:val="00A13616"/>
    <w:rsid w:val="00A371D2"/>
    <w:rsid w:val="00A43286"/>
    <w:rsid w:val="00A6039B"/>
    <w:rsid w:val="00AC2A55"/>
    <w:rsid w:val="00AC7B1B"/>
    <w:rsid w:val="00AE68D6"/>
    <w:rsid w:val="00AF334B"/>
    <w:rsid w:val="00AF58B2"/>
    <w:rsid w:val="00B00770"/>
    <w:rsid w:val="00B06763"/>
    <w:rsid w:val="00B1404F"/>
    <w:rsid w:val="00B22719"/>
    <w:rsid w:val="00B254F2"/>
    <w:rsid w:val="00B37B19"/>
    <w:rsid w:val="00B433B5"/>
    <w:rsid w:val="00B84DF5"/>
    <w:rsid w:val="00B8579A"/>
    <w:rsid w:val="00B86131"/>
    <w:rsid w:val="00B94C23"/>
    <w:rsid w:val="00BB667F"/>
    <w:rsid w:val="00BD5D66"/>
    <w:rsid w:val="00BE61D2"/>
    <w:rsid w:val="00BF65EF"/>
    <w:rsid w:val="00C31B08"/>
    <w:rsid w:val="00C50665"/>
    <w:rsid w:val="00C56A86"/>
    <w:rsid w:val="00C75563"/>
    <w:rsid w:val="00C8396E"/>
    <w:rsid w:val="00CB1DC9"/>
    <w:rsid w:val="00CB28BC"/>
    <w:rsid w:val="00CB4BFF"/>
    <w:rsid w:val="00CD580A"/>
    <w:rsid w:val="00CE4298"/>
    <w:rsid w:val="00CE5AF8"/>
    <w:rsid w:val="00D12A14"/>
    <w:rsid w:val="00D60BF1"/>
    <w:rsid w:val="00D61018"/>
    <w:rsid w:val="00D75371"/>
    <w:rsid w:val="00D75D1D"/>
    <w:rsid w:val="00D94250"/>
    <w:rsid w:val="00DA3BB1"/>
    <w:rsid w:val="00DB307F"/>
    <w:rsid w:val="00DC28D3"/>
    <w:rsid w:val="00DC5D07"/>
    <w:rsid w:val="00DD6E96"/>
    <w:rsid w:val="00DE0490"/>
    <w:rsid w:val="00DF5B8B"/>
    <w:rsid w:val="00E03ECC"/>
    <w:rsid w:val="00E179FF"/>
    <w:rsid w:val="00E22742"/>
    <w:rsid w:val="00E713EA"/>
    <w:rsid w:val="00E74446"/>
    <w:rsid w:val="00E809A2"/>
    <w:rsid w:val="00EB14E5"/>
    <w:rsid w:val="00EB18D0"/>
    <w:rsid w:val="00EC264A"/>
    <w:rsid w:val="00EC7FF9"/>
    <w:rsid w:val="00F21A25"/>
    <w:rsid w:val="00F559E6"/>
    <w:rsid w:val="00F579DE"/>
    <w:rsid w:val="00F61D5B"/>
    <w:rsid w:val="00F71964"/>
    <w:rsid w:val="00F74AF5"/>
    <w:rsid w:val="00F8080F"/>
    <w:rsid w:val="00F809FE"/>
    <w:rsid w:val="00FA54AE"/>
    <w:rsid w:val="00FB2822"/>
    <w:rsid w:val="00FD57C1"/>
    <w:rsid w:val="00FE2606"/>
    <w:rsid w:val="00FE3E7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5D1D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D75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5D1D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D7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ahd-centre@rosminzdrav.ru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hyperlink" Target="http://ahd-centre.rosminzdrav.ru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A46B-3C95-48C9-9180-0EE7F97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2016-12-19T14:24:00Z</cp:lastPrinted>
  <dcterms:created xsi:type="dcterms:W3CDTF">2017-09-28T09:05:00Z</dcterms:created>
  <dcterms:modified xsi:type="dcterms:W3CDTF">2017-09-28T09:06:00Z</dcterms:modified>
</cp:coreProperties>
</file>